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w:body>
    <w:p>
      <w:pPr>
        <w:pStyle w:val="Title"/>
      </w:pPr>
      <w:r>
        <w:t xml:space="preserve">Étude de marché locale (exemple)</w:t>
      </w:r>
    </w:p>
    <w:p>
      <w:r>
        <w:rPr>
          <w:b/>
        </w:rPr>
        <w:t xml:space="preserve">Boulangerie et boulangerie-pâtisserie</w:t>
      </w:r>
      <w:r>
        <w:t xml:space="preserve"> · quartier Mazarin, Aix-en-Provence (Bouches-du-Rhône) · données au 27 octobre 2026</w:t>
      </w:r>
    </w:p>
    <w:p>
      <w:pPr>
        <w:pStyle w:val="Note"/>
      </w:pPr>
      <w:r>
        <w:t xml:space="preserve">Chapitre à intégrer à votre business plan. Chaque chiffre vient d’un registre public et porte sa source ; reformulez le texte à votre guise. Les passages </w:t>
      </w:r>
      <w:r>
        <w:rPr>
          <w:highlight w:val="yellow"/>
        </w:rPr>
        <w:t xml:space="preserve">surlignés en jaune</w:t>
      </w:r>
      <w:r>
        <w:t xml:space="preserve"> sont à compléter par vous.</w:t>
      </w:r>
    </w:p>
    <w:p>
      <w:pPr>
        <w:pStyle w:val="Heading1"/>
      </w:pPr>
      <w:r>
        <w:t xml:space="preserve">1. La zone d’implantation</w:t>
      </w:r>
    </w:p>
    <w:p>
      <w:r>
        <w:t xml:space="preserve">Le projet s’implante dans le quartier Mazarin à Aix-en-Provence (Bouches-du-Rhône), un quartier statistique de l’Insee (IRIS 130010101) de 2 181 habitants, soit 8 058 habitants au km².</w:t>
      </w:r>
    </w:p>
    <w:p>
      <w:r>
        <w:t xml:space="preserve">Adresse du local : </w:t>
      </w:r>
      <w:r>
        <w:rPr>
          <w:highlight w:val="yellow"/>
        </w:rPr>
        <w:t xml:space="preserve">[numéro, rue, commune]</w:t>
      </w:r>
      <w:r>
        <w:t xml:space="preserve">.</w:t>
      </w:r>
    </w:p>
    <w:p>
      <w:r>
        <w:t xml:space="preserve">La zone de chalandise retenue réunit ce quartier et les 6 quartiers voisins dont le centre est à moins d’1 km du sien (Hypercentre, Villeneuve, Couronne Sud, Tanneurs, Couronne Est, Couronne Ouest partie sud) : 18 509 habitants. C’est une approximation à vol d’oiseau ; ajustez-la si une voie rapide, une voie ferrée ou le relief sépare le local d’une partie de la zone.</w:t>
      </w:r>
    </w:p>
    <w:p>
      <w:pPr>
        <w:pStyle w:val="Heading1"/>
      </w:pPr>
      <w:r>
        <w:t xml:space="preserve">2. La clientèle</w:t>
      </w:r>
    </w:p>
    <w:tbl>
      <w:tblPr>
        <w:tblStyle w:val="Grille"/>
        <w:tblW w:w="9638" w:type="dxa"/>
        <w:tblLayout w:type="fixed"/>
      </w:tblPr>
      <w:tblGrid>
        <w:gridCol w:w="5783"/>
        <w:gridCol w:w="3855"/>
      </w:tblGrid>
      <w:tr>
        <w:trPr>
          <w:tblHeader/>
        </w:trPr>
        <w:tc>
          <w:tcPr>
            <w:tcW w:w="5783" w:type="dxa"/>
            <w:shd w:val="clear" w:color="auto" w:fill="EDEEF1"/>
          </w:tcPr>
          <w:p>
            <w:pPr>
              <w:pStyle w:val="Tableau"/>
            </w:pPr>
            <w:r>
              <w:rPr>
                <w:b/>
              </w:rPr>
              <w:t xml:space="preserve">Indicateur</w:t>
            </w:r>
          </w:p>
        </w:tc>
        <w:tc>
          <w:tcPr>
            <w:tcW w:w="3855" w:type="dxa"/>
            <w:shd w:val="clear" w:color="auto" w:fill="EDEEF1"/>
          </w:tcPr>
          <w:p>
            <w:pPr>
              <w:pStyle w:val="Tableau"/>
            </w:pPr>
            <w:r>
              <w:rPr>
                <w:b/>
              </w:rPr>
              <w:t xml:space="preserve">Quartier</w:t>
            </w:r>
          </w:p>
        </w:tc>
      </w:tr>
      <w:tr>
        <w:trPr>
          <w:cantSplit/>
        </w:trPr>
        <w:tc>
          <w:tcPr>
            <w:tcW w:w="5783" w:type="dxa"/>
          </w:tcPr>
          <w:p>
            <w:pPr>
              <w:pStyle w:val="Tableau"/>
            </w:pPr>
            <w:r>
              <w:t xml:space="preserve">Habitants du quartier</w:t>
            </w:r>
          </w:p>
        </w:tc>
        <w:tc>
          <w:tcPr>
            <w:tcW w:w="3855" w:type="dxa"/>
          </w:tcPr>
          <w:p>
            <w:pPr>
              <w:pStyle w:val="Tableau"/>
            </w:pPr>
            <w:r>
              <w:t xml:space="preserve">2 181</w:t>
            </w:r>
          </w:p>
        </w:tc>
      </w:tr>
      <w:tr>
        <w:trPr>
          <w:cantSplit/>
        </w:trPr>
        <w:tc>
          <w:tcPr>
            <w:tcW w:w="5783" w:type="dxa"/>
          </w:tcPr>
          <w:p>
            <w:pPr>
              <w:pStyle w:val="Tableau"/>
            </w:pPr>
            <w:r>
              <w:t xml:space="preserve">Moins de 15 ans</w:t>
            </w:r>
          </w:p>
        </w:tc>
        <w:tc>
          <w:tcPr>
            <w:tcW w:w="3855" w:type="dxa"/>
          </w:tcPr>
          <w:p>
            <w:pPr>
              <w:pStyle w:val="Tableau"/>
            </w:pPr>
            <w:r>
              <w:t xml:space="preserve">8 %</w:t>
            </w:r>
          </w:p>
        </w:tc>
      </w:tr>
      <w:tr>
        <w:trPr>
          <w:cantSplit/>
        </w:trPr>
        <w:tc>
          <w:tcPr>
            <w:tcW w:w="5783" w:type="dxa"/>
          </w:tcPr>
          <w:p>
            <w:pPr>
              <w:pStyle w:val="Tableau"/>
            </w:pPr>
            <w:r>
              <w:t xml:space="preserve">15 à 29 ans</w:t>
            </w:r>
          </w:p>
        </w:tc>
        <w:tc>
          <w:tcPr>
            <w:tcW w:w="3855" w:type="dxa"/>
          </w:tcPr>
          <w:p>
            <w:pPr>
              <w:pStyle w:val="Tableau"/>
            </w:pPr>
            <w:r>
              <w:t xml:space="preserve">38 %</w:t>
            </w:r>
          </w:p>
        </w:tc>
      </w:tr>
      <w:tr>
        <w:trPr>
          <w:cantSplit/>
        </w:trPr>
        <w:tc>
          <w:tcPr>
            <w:tcW w:w="5783" w:type="dxa"/>
          </w:tcPr>
          <w:p>
            <w:pPr>
              <w:pStyle w:val="Tableau"/>
            </w:pPr>
            <w:r>
              <w:t xml:space="preserve">30 à 44 ans</w:t>
            </w:r>
          </w:p>
        </w:tc>
        <w:tc>
          <w:tcPr>
            <w:tcW w:w="3855" w:type="dxa"/>
          </w:tcPr>
          <w:p>
            <w:pPr>
              <w:pStyle w:val="Tableau"/>
            </w:pPr>
            <w:r>
              <w:t xml:space="preserve">14 %</w:t>
            </w:r>
          </w:p>
        </w:tc>
      </w:tr>
      <w:tr>
        <w:trPr>
          <w:cantSplit/>
        </w:trPr>
        <w:tc>
          <w:tcPr>
            <w:tcW w:w="5783" w:type="dxa"/>
          </w:tcPr>
          <w:p>
            <w:pPr>
              <w:pStyle w:val="Tableau"/>
            </w:pPr>
            <w:r>
              <w:t xml:space="preserve">65 ans et plus</w:t>
            </w:r>
          </w:p>
        </w:tc>
        <w:tc>
          <w:tcPr>
            <w:tcW w:w="3855" w:type="dxa"/>
          </w:tcPr>
          <w:p>
            <w:pPr>
              <w:pStyle w:val="Tableau"/>
            </w:pPr>
            <w:r>
              <w:t xml:space="preserve">20 %</w:t>
            </w:r>
          </w:p>
        </w:tc>
      </w:tr>
      <w:tr>
        <w:trPr>
          <w:cantSplit/>
        </w:trPr>
        <w:tc>
          <w:tcPr>
            <w:tcW w:w="5783" w:type="dxa"/>
          </w:tcPr>
          <w:p>
            <w:pPr>
              <w:pStyle w:val="Tableau"/>
            </w:pPr>
            <w:r>
              <w:t xml:space="preserve">Niveau de vie médian, par unité de consommation</w:t>
            </w:r>
          </w:p>
        </w:tc>
        <w:tc>
          <w:tcPr>
            <w:tcW w:w="3855" w:type="dxa"/>
          </w:tcPr>
          <w:p>
            <w:pPr>
              <w:pStyle w:val="Tableau"/>
            </w:pPr>
            <w:r>
              <w:t xml:space="preserve">27 510 € par an (commune : 25 810 €)</w:t>
            </w:r>
          </w:p>
        </w:tc>
      </w:tr>
      <w:tr>
        <w:trPr>
          <w:cantSplit/>
        </w:trPr>
        <w:tc>
          <w:tcPr>
            <w:tcW w:w="5783" w:type="dxa"/>
          </w:tcPr>
          <w:p>
            <w:pPr>
              <w:pStyle w:val="Tableau"/>
            </w:pPr>
            <w:r>
              <w:t xml:space="preserve">Taux de pauvreté</w:t>
            </w:r>
          </w:p>
        </w:tc>
        <w:tc>
          <w:tcPr>
            <w:tcW w:w="3855" w:type="dxa"/>
          </w:tcPr>
          <w:p>
            <w:pPr>
              <w:pStyle w:val="Tableau"/>
            </w:pPr>
            <w:r>
              <w:t xml:space="preserve">19 %</w:t>
            </w:r>
          </w:p>
        </w:tc>
      </w:tr>
      <w:tr>
        <w:trPr>
          <w:cantSplit/>
        </w:trPr>
        <w:tc>
          <w:tcPr>
            <w:tcW w:w="5783" w:type="dxa"/>
          </w:tcPr>
          <w:p>
            <w:pPr>
              <w:pStyle w:val="Tableau"/>
            </w:pPr>
            <w:r>
              <w:t xml:space="preserve">Familles monoparentales</w:t>
            </w:r>
          </w:p>
        </w:tc>
        <w:tc>
          <w:tcPr>
            <w:tcW w:w="3855" w:type="dxa"/>
          </w:tcPr>
          <w:p>
            <w:pPr>
              <w:pStyle w:val="Tableau"/>
            </w:pPr>
            <w:r>
              <w:t xml:space="preserve">16 %</w:t>
            </w:r>
          </w:p>
        </w:tc>
      </w:tr>
      <w:tr>
        <w:trPr>
          <w:cantSplit/>
        </w:trPr>
        <w:tc>
          <w:tcPr>
            <w:tcW w:w="5783" w:type="dxa"/>
          </w:tcPr>
          <w:p>
            <w:pPr>
              <w:pStyle w:val="Tableau"/>
            </w:pPr>
            <w:r>
              <w:t xml:space="preserve">Emplois salariés sur place (clientèle de jour)</w:t>
            </w:r>
          </w:p>
        </w:tc>
        <w:tc>
          <w:tcPr>
            <w:tcW w:w="3855" w:type="dxa"/>
          </w:tcPr>
          <w:p>
            <w:pPr>
              <w:pStyle w:val="Tableau"/>
            </w:pPr>
            <w:r>
              <w:t xml:space="preserve">1 762</w:t>
            </w:r>
          </w:p>
        </w:tc>
      </w:tr>
    </w:tbl>
    <w:p>
      <w:pPr>
        <w:pStyle w:val="Tableau"/>
      </w:pPr>
    </w:p>
    <w:p>
      <w:pPr>
        <w:pStyle w:val="Note"/>
      </w:pPr>
      <w:r>
        <w:t xml:space="preserve">Insee, recensement de la population et Filosofi (dernier millésime publié), à l’échelle du quartier ou de la commune selon la diffusion ; emplois : répertoire Sirene.</w:t>
      </w:r>
    </w:p>
    <w:p>
      <w:r>
        <w:t xml:space="preserve">Clientèle visée : </w:t>
      </w:r>
      <w:r>
        <w:rPr>
          <w:highlight w:val="yellow"/>
        </w:rPr>
        <w:t xml:space="preserve">[qui sont vos clients, et en quoi ce quartier les réunit : âge, revenus, actifs, passage]</w:t>
      </w:r>
      <w:r>
        <w:t xml:space="preserve">.</w:t>
      </w:r>
    </w:p>
    <w:p>
      <w:pPr>
        <w:pStyle w:val="Heading1"/>
      </w:pPr>
      <w:r>
        <w:t xml:space="preserve">3. La concurrence</w:t>
      </w:r>
    </w:p>
    <w:p>
      <w:r>
        <w:t xml:space="preserve">2 établissements de boulangerie (code NAF 10.71C) sont installés dans le quartier, et 21 autres à moins d’1 km de son centre. S’y ajoutent 4 établissements d’activités voisines (même marché) dans le quartier.</w:t>
      </w:r>
    </w:p>
    <w:tbl>
      <w:tblPr>
        <w:tblStyle w:val="Grille"/>
        <w:tblW w:w="9638" w:type="dxa"/>
        <w:tblLayout w:type="fixed"/>
      </w:tblPr>
      <w:tblGrid>
        <w:gridCol w:w="3213"/>
        <w:gridCol w:w="3213"/>
        <w:gridCol w:w="2142"/>
        <w:gridCol w:w="1071"/>
      </w:tblGrid>
      <w:tr>
        <w:trPr>
          <w:tblHeader/>
        </w:trPr>
        <w:tc>
          <w:tcPr>
            <w:tcW w:w="3213" w:type="dxa"/>
            <w:shd w:val="clear" w:color="auto" w:fill="EDEEF1"/>
          </w:tcPr>
          <w:p>
            <w:pPr>
              <w:pStyle w:val="Tableau"/>
            </w:pPr>
            <w:r>
              <w:rPr>
                <w:b/>
              </w:rPr>
              <w:t xml:space="preserve">Concurrent direct</w:t>
            </w:r>
          </w:p>
        </w:tc>
        <w:tc>
          <w:tcPr>
            <w:tcW w:w="3213" w:type="dxa"/>
            <w:shd w:val="clear" w:color="auto" w:fill="EDEEF1"/>
          </w:tcPr>
          <w:p>
            <w:pPr>
              <w:pStyle w:val="Tableau"/>
            </w:pPr>
            <w:r>
              <w:rPr>
                <w:b/>
              </w:rPr>
              <w:t xml:space="preserve">Adresse</w:t>
            </w:r>
          </w:p>
        </w:tc>
        <w:tc>
          <w:tcPr>
            <w:tcW w:w="2142" w:type="dxa"/>
            <w:shd w:val="clear" w:color="auto" w:fill="EDEEF1"/>
          </w:tcPr>
          <w:p>
            <w:pPr>
              <w:pStyle w:val="Tableau"/>
            </w:pPr>
            <w:r>
              <w:rPr>
                <w:b/>
              </w:rPr>
              <w:t xml:space="preserve">Situation</w:t>
            </w:r>
          </w:p>
        </w:tc>
        <w:tc>
          <w:tcPr>
            <w:tcW w:w="1071" w:type="dxa"/>
            <w:shd w:val="clear" w:color="auto" w:fill="EDEEF1"/>
          </w:tcPr>
          <w:p>
            <w:pPr>
              <w:pStyle w:val="Tableau"/>
            </w:pPr>
            <w:r>
              <w:rPr>
                <w:b/>
              </w:rPr>
              <w:t xml:space="preserve">Depuis</w:t>
            </w:r>
          </w:p>
        </w:tc>
      </w:tr>
      <w:tr>
        <w:trPr>
          <w:cantSplit/>
        </w:trPr>
        <w:tc>
          <w:tcPr>
            <w:tcW w:w="3213" w:type="dxa"/>
          </w:tcPr>
          <w:p>
            <w:pPr>
              <w:pStyle w:val="Tableau"/>
            </w:pPr>
            <w:r>
              <w:t xml:space="preserve">BOULANGERIE BIO NOE</w:t>
            </w:r>
          </w:p>
        </w:tc>
        <w:tc>
          <w:tcPr>
            <w:tcW w:w="3213" w:type="dxa"/>
          </w:tcPr>
          <w:p>
            <w:pPr>
              <w:pStyle w:val="Tableau"/>
            </w:pPr>
            <w:r>
              <w:t xml:space="preserve">4 RUE D'ITALIE</w:t>
            </w:r>
          </w:p>
        </w:tc>
        <w:tc>
          <w:tcPr>
            <w:tcW w:w="2142" w:type="dxa"/>
          </w:tcPr>
          <w:p>
            <w:pPr>
              <w:pStyle w:val="Tableau"/>
            </w:pPr>
            <w:r>
              <w:t xml:space="preserve">dans le quartier</w:t>
            </w:r>
          </w:p>
        </w:tc>
        <w:tc>
          <w:tcPr>
            <w:tcW w:w="1071" w:type="dxa"/>
          </w:tcPr>
          <w:p>
            <w:pPr>
              <w:pStyle w:val="Tableau"/>
            </w:pPr>
            <w:r>
              <w:t xml:space="preserve">2021</w:t>
            </w:r>
          </w:p>
        </w:tc>
      </w:tr>
      <w:tr>
        <w:trPr>
          <w:cantSplit/>
        </w:trPr>
        <w:tc>
          <w:tcPr>
            <w:tcW w:w="3213" w:type="dxa"/>
          </w:tcPr>
          <w:p>
            <w:pPr>
              <w:pStyle w:val="Tableau"/>
            </w:pPr>
            <w:r>
              <w:t xml:space="preserve">HAT'S</w:t>
            </w:r>
          </w:p>
        </w:tc>
        <w:tc>
          <w:tcPr>
            <w:tcW w:w="3213" w:type="dxa"/>
          </w:tcPr>
          <w:p>
            <w:pPr>
              <w:pStyle w:val="Tableau"/>
            </w:pPr>
            <w:r>
              <w:t xml:space="preserve">5 RUE D'ITALIE</w:t>
            </w:r>
          </w:p>
        </w:tc>
        <w:tc>
          <w:tcPr>
            <w:tcW w:w="2142" w:type="dxa"/>
          </w:tcPr>
          <w:p>
            <w:pPr>
              <w:pStyle w:val="Tableau"/>
            </w:pPr>
            <w:r>
              <w:t xml:space="preserve">dans le quartier</w:t>
            </w:r>
          </w:p>
        </w:tc>
        <w:tc>
          <w:tcPr>
            <w:tcW w:w="1071" w:type="dxa"/>
          </w:tcPr>
          <w:p>
            <w:pPr>
              <w:pStyle w:val="Tableau"/>
            </w:pPr>
            <w:r>
              <w:t xml:space="preserve">2019</w:t>
            </w:r>
          </w:p>
        </w:tc>
      </w:tr>
      <w:tr>
        <w:trPr>
          <w:cantSplit/>
        </w:trPr>
        <w:tc>
          <w:tcPr>
            <w:tcW w:w="3213" w:type="dxa"/>
          </w:tcPr>
          <w:p>
            <w:pPr>
              <w:pStyle w:val="Tableau"/>
            </w:pPr>
            <w:r>
              <w:t xml:space="preserve">LA TABLE DES SAISONS</w:t>
            </w:r>
          </w:p>
        </w:tc>
        <w:tc>
          <w:tcPr>
            <w:tcW w:w="3213" w:type="dxa"/>
          </w:tcPr>
          <w:p>
            <w:pPr>
              <w:pStyle w:val="Tableau"/>
            </w:pPr>
            <w:r>
              <w:t xml:space="preserve">4 RUE NAZARETH</w:t>
            </w:r>
          </w:p>
        </w:tc>
        <w:tc>
          <w:tcPr>
            <w:tcW w:w="2142" w:type="dxa"/>
          </w:tcPr>
          <w:p>
            <w:pPr>
              <w:pStyle w:val="Tableau"/>
            </w:pPr>
            <w:r>
              <w:t xml:space="preserve">230 m, Hypercentre</w:t>
            </w:r>
          </w:p>
        </w:tc>
        <w:tc>
          <w:tcPr>
            <w:tcW w:w="1071" w:type="dxa"/>
          </w:tcPr>
          <w:p>
            <w:pPr>
              <w:pStyle w:val="Tableau"/>
            </w:pPr>
            <w:r>
              <w:t xml:space="preserve">2021</w:t>
            </w:r>
          </w:p>
        </w:tc>
      </w:tr>
      <w:tr>
        <w:trPr>
          <w:cantSplit/>
        </w:trPr>
        <w:tc>
          <w:tcPr>
            <w:tcW w:w="3213" w:type="dxa"/>
          </w:tcPr>
          <w:p>
            <w:pPr>
              <w:pStyle w:val="Tableau"/>
            </w:pPr>
            <w:r>
              <w:t xml:space="preserve">LE CAFE GLACIER</w:t>
            </w:r>
          </w:p>
        </w:tc>
        <w:tc>
          <w:tcPr>
            <w:tcW w:w="3213" w:type="dxa"/>
          </w:tcPr>
          <w:p>
            <w:pPr>
              <w:pStyle w:val="Tableau"/>
            </w:pPr>
            <w:r>
              <w:t xml:space="preserve">2 RUE DE L'OPERA</w:t>
            </w:r>
          </w:p>
        </w:tc>
        <w:tc>
          <w:tcPr>
            <w:tcW w:w="2142" w:type="dxa"/>
          </w:tcPr>
          <w:p>
            <w:pPr>
              <w:pStyle w:val="Tableau"/>
            </w:pPr>
            <w:r>
              <w:t xml:space="preserve">240 m, Villeneuve</w:t>
            </w:r>
          </w:p>
        </w:tc>
        <w:tc>
          <w:tcPr>
            <w:tcW w:w="1071" w:type="dxa"/>
          </w:tcPr>
          <w:p>
            <w:pPr>
              <w:pStyle w:val="Tableau"/>
            </w:pPr>
            <w:r>
              <w:t xml:space="preserve">2009</w:t>
            </w:r>
          </w:p>
        </w:tc>
      </w:tr>
      <w:tr>
        <w:trPr>
          <w:cantSplit/>
        </w:trPr>
        <w:tc>
          <w:tcPr>
            <w:tcW w:w="3213" w:type="dxa"/>
          </w:tcPr>
          <w:p>
            <w:pPr>
              <w:pStyle w:val="Tableau"/>
            </w:pPr>
            <w:r>
              <w:t xml:space="preserve">LAURENCE CAMPANELLA</w:t>
            </w:r>
          </w:p>
        </w:tc>
        <w:tc>
          <w:tcPr>
            <w:tcW w:w="3213" w:type="dxa"/>
          </w:tcPr>
          <w:p>
            <w:pPr>
              <w:pStyle w:val="Tableau"/>
            </w:pPr>
            <w:r>
              <w:t xml:space="preserve">9 COURS D'ORBITELLE</w:t>
            </w:r>
          </w:p>
        </w:tc>
        <w:tc>
          <w:tcPr>
            <w:tcW w:w="2142" w:type="dxa"/>
          </w:tcPr>
          <w:p>
            <w:pPr>
              <w:pStyle w:val="Tableau"/>
            </w:pPr>
            <w:r>
              <w:t xml:space="preserve">260 m, Couronne Sud</w:t>
            </w:r>
          </w:p>
        </w:tc>
        <w:tc>
          <w:tcPr>
            <w:tcW w:w="1071" w:type="dxa"/>
          </w:tcPr>
          <w:p>
            <w:pPr>
              <w:pStyle w:val="Tableau"/>
            </w:pPr>
            <w:r>
              <w:t xml:space="preserve">2004</w:t>
            </w:r>
          </w:p>
        </w:tc>
      </w:tr>
      <w:tr>
        <w:trPr>
          <w:cantSplit/>
        </w:trPr>
        <w:tc>
          <w:tcPr>
            <w:tcW w:w="3213" w:type="dxa"/>
          </w:tcPr>
          <w:p>
            <w:pPr>
              <w:pStyle w:val="Tableau"/>
            </w:pPr>
            <w:r>
              <w:t xml:space="preserve">AP PATISSERIE</w:t>
            </w:r>
          </w:p>
        </w:tc>
        <w:tc>
          <w:tcPr>
            <w:tcW w:w="3213" w:type="dxa"/>
          </w:tcPr>
          <w:p>
            <w:pPr>
              <w:pStyle w:val="Tableau"/>
            </w:pPr>
            <w:r>
              <w:t xml:space="preserve">29 RUE ESPARIAT</w:t>
            </w:r>
          </w:p>
        </w:tc>
        <w:tc>
          <w:tcPr>
            <w:tcW w:w="2142" w:type="dxa"/>
          </w:tcPr>
          <w:p>
            <w:pPr>
              <w:pStyle w:val="Tableau"/>
            </w:pPr>
            <w:r>
              <w:t xml:space="preserve">300 m, Hypercentre</w:t>
            </w:r>
          </w:p>
        </w:tc>
        <w:tc>
          <w:tcPr>
            <w:tcW w:w="1071" w:type="dxa"/>
          </w:tcPr>
          <w:p>
            <w:pPr>
              <w:pStyle w:val="Tableau"/>
            </w:pPr>
            <w:r>
              <w:t xml:space="preserve">2026</w:t>
            </w:r>
          </w:p>
        </w:tc>
      </w:tr>
      <w:tr>
        <w:trPr>
          <w:cantSplit/>
        </w:trPr>
        <w:tc>
          <w:tcPr>
            <w:tcW w:w="3213" w:type="dxa"/>
          </w:tcPr>
          <w:p>
            <w:pPr>
              <w:pStyle w:val="Tableau"/>
            </w:pPr>
            <w:r>
              <w:t xml:space="preserve">GOUT DE PAIN</w:t>
            </w:r>
          </w:p>
        </w:tc>
        <w:tc>
          <w:tcPr>
            <w:tcW w:w="3213" w:type="dxa"/>
          </w:tcPr>
          <w:p>
            <w:pPr>
              <w:pStyle w:val="Tableau"/>
            </w:pPr>
            <w:r>
              <w:t xml:space="preserve">42 RUE ESPARIAT</w:t>
            </w:r>
          </w:p>
        </w:tc>
        <w:tc>
          <w:tcPr>
            <w:tcW w:w="2142" w:type="dxa"/>
          </w:tcPr>
          <w:p>
            <w:pPr>
              <w:pStyle w:val="Tableau"/>
            </w:pPr>
            <w:r>
              <w:t xml:space="preserve">350 m, Tanneurs</w:t>
            </w:r>
          </w:p>
        </w:tc>
        <w:tc>
          <w:tcPr>
            <w:tcW w:w="1071" w:type="dxa"/>
          </w:tcPr>
          <w:p>
            <w:pPr>
              <w:pStyle w:val="Tableau"/>
            </w:pPr>
            <w:r>
              <w:t xml:space="preserve">2010</w:t>
            </w:r>
          </w:p>
        </w:tc>
      </w:tr>
      <w:tr>
        <w:trPr>
          <w:cantSplit/>
        </w:trPr>
        <w:tc>
          <w:tcPr>
            <w:tcW w:w="3213" w:type="dxa"/>
          </w:tcPr>
          <w:p>
            <w:pPr>
              <w:pStyle w:val="Tableau"/>
            </w:pPr>
            <w:r>
              <w:t xml:space="preserve">HAT'S BOULANGERIE</w:t>
            </w:r>
          </w:p>
        </w:tc>
        <w:tc>
          <w:tcPr>
            <w:tcW w:w="3213" w:type="dxa"/>
          </w:tcPr>
          <w:p>
            <w:pPr>
              <w:pStyle w:val="Tableau"/>
            </w:pPr>
            <w:r>
              <w:t xml:space="preserve">42 RUE ESPARIAT</w:t>
            </w:r>
          </w:p>
        </w:tc>
        <w:tc>
          <w:tcPr>
            <w:tcW w:w="2142" w:type="dxa"/>
          </w:tcPr>
          <w:p>
            <w:pPr>
              <w:pStyle w:val="Tableau"/>
            </w:pPr>
            <w:r>
              <w:t xml:space="preserve">350 m, Tanneurs</w:t>
            </w:r>
          </w:p>
        </w:tc>
        <w:tc>
          <w:tcPr>
            <w:tcW w:w="1071" w:type="dxa"/>
          </w:tcPr>
          <w:p>
            <w:pPr>
              <w:pStyle w:val="Tableau"/>
            </w:pPr>
            <w:r>
              <w:t xml:space="preserve">2024</w:t>
            </w:r>
          </w:p>
        </w:tc>
      </w:tr>
      <w:tr>
        <w:trPr>
          <w:cantSplit/>
        </w:trPr>
        <w:tc>
          <w:tcPr>
            <w:tcW w:w="3213" w:type="dxa"/>
          </w:tcPr>
          <w:p>
            <w:pPr>
              <w:pStyle w:val="Tableau"/>
            </w:pPr>
            <w:r>
              <w:t xml:space="preserve">BOULANGERIE BIO NOE</w:t>
            </w:r>
          </w:p>
        </w:tc>
        <w:tc>
          <w:tcPr>
            <w:tcW w:w="3213" w:type="dxa"/>
          </w:tcPr>
          <w:p>
            <w:pPr>
              <w:pStyle w:val="Tableau"/>
            </w:pPr>
            <w:r>
              <w:t xml:space="preserve">11 RUE CHABRIER</w:t>
            </w:r>
          </w:p>
        </w:tc>
        <w:tc>
          <w:tcPr>
            <w:tcW w:w="2142" w:type="dxa"/>
          </w:tcPr>
          <w:p>
            <w:pPr>
              <w:pStyle w:val="Tableau"/>
            </w:pPr>
            <w:r>
              <w:t xml:space="preserve">450 m, Hypercentre</w:t>
            </w:r>
          </w:p>
        </w:tc>
        <w:tc>
          <w:tcPr>
            <w:tcW w:w="1071" w:type="dxa"/>
          </w:tcPr>
          <w:p>
            <w:pPr>
              <w:pStyle w:val="Tableau"/>
            </w:pPr>
            <w:r>
              <w:t xml:space="preserve">2019</w:t>
            </w:r>
          </w:p>
        </w:tc>
      </w:tr>
      <w:tr>
        <w:trPr>
          <w:cantSplit/>
        </w:trPr>
        <w:tc>
          <w:tcPr>
            <w:tcW w:w="3213" w:type="dxa"/>
          </w:tcPr>
          <w:p>
            <w:pPr>
              <w:pStyle w:val="Tableau"/>
            </w:pPr>
            <w:r>
              <w:t xml:space="preserve">S.A.S KAPRICE</w:t>
            </w:r>
          </w:p>
        </w:tc>
        <w:tc>
          <w:tcPr>
            <w:tcW w:w="3213" w:type="dxa"/>
          </w:tcPr>
          <w:p>
            <w:pPr>
              <w:pStyle w:val="Tableau"/>
            </w:pPr>
            <w:r>
              <w:t xml:space="preserve">11 RUE CHABRIER</w:t>
            </w:r>
          </w:p>
        </w:tc>
        <w:tc>
          <w:tcPr>
            <w:tcW w:w="2142" w:type="dxa"/>
          </w:tcPr>
          <w:p>
            <w:pPr>
              <w:pStyle w:val="Tableau"/>
            </w:pPr>
            <w:r>
              <w:t xml:space="preserve">450 m, Hypercentre</w:t>
            </w:r>
          </w:p>
        </w:tc>
        <w:tc>
          <w:tcPr>
            <w:tcW w:w="1071" w:type="dxa"/>
          </w:tcPr>
          <w:p>
            <w:pPr>
              <w:pStyle w:val="Tableau"/>
            </w:pPr>
            <w:r>
              <w:t xml:space="preserve">2025</w:t>
            </w:r>
          </w:p>
        </w:tc>
      </w:tr>
      <w:tr>
        <w:trPr>
          <w:cantSplit/>
        </w:trPr>
        <w:tc>
          <w:tcPr>
            <w:tcW w:w="3213" w:type="dxa"/>
          </w:tcPr>
          <w:p>
            <w:pPr>
              <w:pStyle w:val="Tableau"/>
            </w:pPr>
            <w:r>
              <w:t xml:space="preserve">FARINOMAN FOU</w:t>
            </w:r>
          </w:p>
        </w:tc>
        <w:tc>
          <w:tcPr>
            <w:tcW w:w="3213" w:type="dxa"/>
          </w:tcPr>
          <w:p>
            <w:pPr>
              <w:pStyle w:val="Tableau"/>
            </w:pPr>
            <w:r>
              <w:t xml:space="preserve">5 RUE MIGNET</w:t>
            </w:r>
          </w:p>
        </w:tc>
        <w:tc>
          <w:tcPr>
            <w:tcW w:w="2142" w:type="dxa"/>
          </w:tcPr>
          <w:p>
            <w:pPr>
              <w:pStyle w:val="Tableau"/>
            </w:pPr>
            <w:r>
              <w:t xml:space="preserve">480 m, Hypercentre</w:t>
            </w:r>
          </w:p>
        </w:tc>
        <w:tc>
          <w:tcPr>
            <w:tcW w:w="1071" w:type="dxa"/>
          </w:tcPr>
          <w:p>
            <w:pPr>
              <w:pStyle w:val="Tableau"/>
            </w:pPr>
            <w:r>
              <w:t xml:space="preserve">2009</w:t>
            </w:r>
          </w:p>
        </w:tc>
      </w:tr>
      <w:tr>
        <w:trPr>
          <w:cantSplit/>
        </w:trPr>
        <w:tc>
          <w:tcPr>
            <w:tcW w:w="3213" w:type="dxa"/>
          </w:tcPr>
          <w:p>
            <w:pPr>
              <w:pStyle w:val="Tableau"/>
            </w:pPr>
            <w:r>
              <w:t xml:space="preserve">LA FOURNAISE</w:t>
            </w:r>
          </w:p>
        </w:tc>
        <w:tc>
          <w:tcPr>
            <w:tcW w:w="3213" w:type="dxa"/>
          </w:tcPr>
          <w:p>
            <w:pPr>
              <w:pStyle w:val="Tableau"/>
            </w:pPr>
            <w:r>
              <w:t xml:space="preserve">36 PLACE DES TANNEURS</w:t>
            </w:r>
          </w:p>
        </w:tc>
        <w:tc>
          <w:tcPr>
            <w:tcW w:w="2142" w:type="dxa"/>
          </w:tcPr>
          <w:p>
            <w:pPr>
              <w:pStyle w:val="Tableau"/>
            </w:pPr>
            <w:r>
              <w:t xml:space="preserve">500 m, Tanneurs</w:t>
            </w:r>
          </w:p>
        </w:tc>
        <w:tc>
          <w:tcPr>
            <w:tcW w:w="1071" w:type="dxa"/>
          </w:tcPr>
          <w:p>
            <w:pPr>
              <w:pStyle w:val="Tableau"/>
            </w:pPr>
            <w:r>
              <w:t xml:space="preserve">2025</w:t>
            </w:r>
          </w:p>
        </w:tc>
      </w:tr>
      <w:tr>
        <w:trPr>
          <w:cantSplit/>
        </w:trPr>
        <w:tc>
          <w:tcPr>
            <w:tcW w:w="3213" w:type="dxa"/>
          </w:tcPr>
          <w:p>
            <w:pPr>
              <w:pStyle w:val="Tableau"/>
            </w:pPr>
            <w:r>
              <w:t xml:space="preserve">MAISON SAINT HONORE AIX</w:t>
            </w:r>
          </w:p>
        </w:tc>
        <w:tc>
          <w:tcPr>
            <w:tcW w:w="3213" w:type="dxa"/>
          </w:tcPr>
          <w:p>
            <w:pPr>
              <w:pStyle w:val="Tableau"/>
            </w:pPr>
            <w:r>
              <w:t xml:space="preserve">1 RUE PAUL BERT</w:t>
            </w:r>
          </w:p>
        </w:tc>
        <w:tc>
          <w:tcPr>
            <w:tcW w:w="2142" w:type="dxa"/>
          </w:tcPr>
          <w:p>
            <w:pPr>
              <w:pStyle w:val="Tableau"/>
            </w:pPr>
            <w:r>
              <w:t xml:space="preserve">550 m, Hypercentre</w:t>
            </w:r>
          </w:p>
        </w:tc>
        <w:tc>
          <w:tcPr>
            <w:tcW w:w="1071" w:type="dxa"/>
          </w:tcPr>
          <w:p>
            <w:pPr>
              <w:pStyle w:val="Tableau"/>
            </w:pPr>
            <w:r>
              <w:t xml:space="preserve">2023</w:t>
            </w:r>
          </w:p>
        </w:tc>
      </w:tr>
      <w:tr>
        <w:trPr>
          <w:cantSplit/>
        </w:trPr>
        <w:tc>
          <w:tcPr>
            <w:tcW w:w="3213" w:type="dxa"/>
          </w:tcPr>
          <w:p>
            <w:pPr>
              <w:pStyle w:val="Tableau"/>
            </w:pPr>
            <w:r>
              <w:t xml:space="preserve">LE FOURNIL DES CORDELIERS</w:t>
            </w:r>
          </w:p>
        </w:tc>
        <w:tc>
          <w:tcPr>
            <w:tcW w:w="3213" w:type="dxa"/>
          </w:tcPr>
          <w:p>
            <w:pPr>
              <w:pStyle w:val="Tableau"/>
            </w:pPr>
            <w:r>
              <w:t xml:space="preserve">67 RUE DES CORDELIERS</w:t>
            </w:r>
          </w:p>
        </w:tc>
        <w:tc>
          <w:tcPr>
            <w:tcW w:w="2142" w:type="dxa"/>
          </w:tcPr>
          <w:p>
            <w:pPr>
              <w:pStyle w:val="Tableau"/>
            </w:pPr>
            <w:r>
              <w:t xml:space="preserve">610 m, Tanneurs</w:t>
            </w:r>
          </w:p>
        </w:tc>
        <w:tc>
          <w:tcPr>
            <w:tcW w:w="1071" w:type="dxa"/>
          </w:tcPr>
          <w:p>
            <w:pPr>
              <w:pStyle w:val="Tableau"/>
            </w:pPr>
            <w:r>
              <w:t xml:space="preserve">1900</w:t>
            </w:r>
          </w:p>
        </w:tc>
      </w:tr>
      <w:tr>
        <w:trPr>
          <w:cantSplit/>
        </w:trPr>
        <w:tc>
          <w:tcPr>
            <w:tcW w:w="3213" w:type="dxa"/>
          </w:tcPr>
          <w:p>
            <w:pPr>
              <w:pStyle w:val="Tableau"/>
            </w:pPr>
            <w:r>
              <w:t xml:space="preserve">LUDOVIC DARONAT</w:t>
            </w:r>
          </w:p>
        </w:tc>
        <w:tc>
          <w:tcPr>
            <w:tcW w:w="3213" w:type="dxa"/>
          </w:tcPr>
          <w:p>
            <w:pPr>
              <w:pStyle w:val="Tableau"/>
            </w:pPr>
            <w:r>
              <w:t xml:space="preserve">2 RUE DES MULETIERS</w:t>
            </w:r>
          </w:p>
        </w:tc>
        <w:tc>
          <w:tcPr>
            <w:tcW w:w="2142" w:type="dxa"/>
          </w:tcPr>
          <w:p>
            <w:pPr>
              <w:pStyle w:val="Tableau"/>
            </w:pPr>
            <w:r>
              <w:t xml:space="preserve">670 m, Cardeurs</w:t>
            </w:r>
          </w:p>
        </w:tc>
        <w:tc>
          <w:tcPr>
            <w:tcW w:w="1071" w:type="dxa"/>
          </w:tcPr>
          <w:p>
            <w:pPr>
              <w:pStyle w:val="Tableau"/>
            </w:pPr>
            <w:r>
              <w:t xml:space="preserve">2009</w:t>
            </w:r>
          </w:p>
        </w:tc>
      </w:tr>
      <w:tr>
        <w:trPr>
          <w:cantSplit/>
        </w:trPr>
        <w:tc>
          <w:tcPr>
            <w:tcW w:w="3213" w:type="dxa"/>
          </w:tcPr>
          <w:p>
            <w:pPr>
              <w:pStyle w:val="Tableau"/>
            </w:pPr>
            <w:r>
              <w:t xml:space="preserve">AU MOULIN DE MIGNET</w:t>
            </w:r>
          </w:p>
        </w:tc>
        <w:tc>
          <w:tcPr>
            <w:tcW w:w="3213" w:type="dxa"/>
          </w:tcPr>
          <w:p>
            <w:pPr>
              <w:pStyle w:val="Tableau"/>
            </w:pPr>
            <w:r>
              <w:t xml:space="preserve">1 RUE LISSE SAINT-LOUIS</w:t>
            </w:r>
          </w:p>
        </w:tc>
        <w:tc>
          <w:tcPr>
            <w:tcW w:w="2142" w:type="dxa"/>
          </w:tcPr>
          <w:p>
            <w:pPr>
              <w:pStyle w:val="Tableau"/>
            </w:pPr>
            <w:r>
              <w:t xml:space="preserve">700 m, Villeneuve</w:t>
            </w:r>
          </w:p>
        </w:tc>
        <w:tc>
          <w:tcPr>
            <w:tcW w:w="1071" w:type="dxa"/>
          </w:tcPr>
          <w:p>
            <w:pPr>
              <w:pStyle w:val="Tableau"/>
            </w:pPr>
            <w:r>
              <w:t xml:space="preserve">2021</w:t>
            </w:r>
          </w:p>
        </w:tc>
      </w:tr>
      <w:tr>
        <w:trPr>
          <w:cantSplit/>
        </w:trPr>
        <w:tc>
          <w:tcPr>
            <w:tcW w:w="3213" w:type="dxa"/>
          </w:tcPr>
          <w:p>
            <w:pPr>
              <w:pStyle w:val="Tableau"/>
            </w:pPr>
            <w:r>
              <w:t xml:space="preserve">DEUX AMIS</w:t>
            </w:r>
          </w:p>
        </w:tc>
        <w:tc>
          <w:tcPr>
            <w:tcW w:w="3213" w:type="dxa"/>
          </w:tcPr>
          <w:p>
            <w:pPr>
              <w:pStyle w:val="Tableau"/>
            </w:pPr>
            <w:r>
              <w:t xml:space="preserve">18 BOULEVARD DE LA REPUBLIQUE</w:t>
            </w:r>
          </w:p>
        </w:tc>
        <w:tc>
          <w:tcPr>
            <w:tcW w:w="2142" w:type="dxa"/>
          </w:tcPr>
          <w:p>
            <w:pPr>
              <w:pStyle w:val="Tableau"/>
            </w:pPr>
            <w:r>
              <w:t xml:space="preserve">780 m, Couronne Ouest partie sud</w:t>
            </w:r>
          </w:p>
        </w:tc>
        <w:tc>
          <w:tcPr>
            <w:tcW w:w="1071" w:type="dxa"/>
          </w:tcPr>
          <w:p>
            <w:pPr>
              <w:pStyle w:val="Tableau"/>
            </w:pPr>
            <w:r>
              <w:t xml:space="preserve">2024</w:t>
            </w:r>
          </w:p>
        </w:tc>
      </w:tr>
      <w:tr>
        <w:trPr>
          <w:cantSplit/>
        </w:trPr>
        <w:tc>
          <w:tcPr>
            <w:tcW w:w="3213" w:type="dxa"/>
          </w:tcPr>
          <w:p>
            <w:pPr>
              <w:pStyle w:val="Tableau"/>
            </w:pPr>
            <w:r>
              <w:t xml:space="preserve">FRANCOIS DAVID</w:t>
            </w:r>
          </w:p>
        </w:tc>
        <w:tc>
          <w:tcPr>
            <w:tcW w:w="3213" w:type="dxa"/>
          </w:tcPr>
          <w:p>
            <w:pPr>
              <w:pStyle w:val="Tableau"/>
            </w:pPr>
            <w:r>
              <w:t xml:space="preserve">35 BOULEVARD DE LA REPUBLIQUE</w:t>
            </w:r>
          </w:p>
        </w:tc>
        <w:tc>
          <w:tcPr>
            <w:tcW w:w="2142" w:type="dxa"/>
          </w:tcPr>
          <w:p>
            <w:pPr>
              <w:pStyle w:val="Tableau"/>
            </w:pPr>
            <w:r>
              <w:t xml:space="preserve">820 m, Couronne Nord</w:t>
            </w:r>
          </w:p>
        </w:tc>
        <w:tc>
          <w:tcPr>
            <w:tcW w:w="1071" w:type="dxa"/>
          </w:tcPr>
          <w:p>
            <w:pPr>
              <w:pStyle w:val="Tableau"/>
            </w:pPr>
            <w:r>
              <w:t xml:space="preserve">1994</w:t>
            </w:r>
          </w:p>
        </w:tc>
      </w:tr>
      <w:tr>
        <w:trPr>
          <w:cantSplit/>
        </w:trPr>
        <w:tc>
          <w:tcPr>
            <w:tcW w:w="3213" w:type="dxa"/>
          </w:tcPr>
          <w:p>
            <w:pPr>
              <w:pStyle w:val="Tableau"/>
            </w:pPr>
            <w:r>
              <w:t xml:space="preserve">CHEZ BISCOTE &amp; BISCOTTE</w:t>
            </w:r>
          </w:p>
        </w:tc>
        <w:tc>
          <w:tcPr>
            <w:tcW w:w="3213" w:type="dxa"/>
          </w:tcPr>
          <w:p>
            <w:pPr>
              <w:pStyle w:val="Tableau"/>
            </w:pPr>
            <w:r>
              <w:t xml:space="preserve">5 RUE JACQUES DE LA ROQUE</w:t>
            </w:r>
          </w:p>
        </w:tc>
        <w:tc>
          <w:tcPr>
            <w:tcW w:w="2142" w:type="dxa"/>
          </w:tcPr>
          <w:p>
            <w:pPr>
              <w:pStyle w:val="Tableau"/>
            </w:pPr>
            <w:r>
              <w:t xml:space="preserve">820 m, Cardeurs</w:t>
            </w:r>
          </w:p>
        </w:tc>
        <w:tc>
          <w:tcPr>
            <w:tcW w:w="1071" w:type="dxa"/>
          </w:tcPr>
          <w:p>
            <w:pPr>
              <w:pStyle w:val="Tableau"/>
            </w:pPr>
            <w:r>
              <w:t xml:space="preserve">2017</w:t>
            </w:r>
          </w:p>
        </w:tc>
      </w:tr>
      <w:tr>
        <w:trPr>
          <w:cantSplit/>
        </w:trPr>
        <w:tc>
          <w:tcPr>
            <w:tcW w:w="3213" w:type="dxa"/>
          </w:tcPr>
          <w:p>
            <w:pPr>
              <w:pStyle w:val="Tableau"/>
            </w:pPr>
            <w:r>
              <w:t xml:space="preserve">MANLIO'S LAB</w:t>
            </w:r>
          </w:p>
        </w:tc>
        <w:tc>
          <w:tcPr>
            <w:tcW w:w="3213" w:type="dxa"/>
          </w:tcPr>
          <w:p>
            <w:pPr>
              <w:pStyle w:val="Tableau"/>
            </w:pPr>
            <w:r>
              <w:t xml:space="preserve">1 RUE JACQUES DE LA ROQUE</w:t>
            </w:r>
          </w:p>
        </w:tc>
        <w:tc>
          <w:tcPr>
            <w:tcW w:w="2142" w:type="dxa"/>
          </w:tcPr>
          <w:p>
            <w:pPr>
              <w:pStyle w:val="Tableau"/>
            </w:pPr>
            <w:r>
              <w:t xml:space="preserve">830 m, Cardeurs</w:t>
            </w:r>
          </w:p>
        </w:tc>
        <w:tc>
          <w:tcPr>
            <w:tcW w:w="1071" w:type="dxa"/>
          </w:tcPr>
          <w:p>
            <w:pPr>
              <w:pStyle w:val="Tableau"/>
            </w:pPr>
            <w:r>
              <w:t xml:space="preserve">2024</w:t>
            </w:r>
          </w:p>
        </w:tc>
      </w:tr>
      <w:tr>
        <w:trPr>
          <w:cantSplit/>
        </w:trPr>
        <w:tc>
          <w:tcPr>
            <w:tcW w:w="3213" w:type="dxa"/>
          </w:tcPr>
          <w:p>
            <w:pPr>
              <w:pStyle w:val="Tableau"/>
            </w:pPr>
            <w:r>
              <w:t xml:space="preserve">LA FABRIQUE A PAIN</w:t>
            </w:r>
          </w:p>
        </w:tc>
        <w:tc>
          <w:tcPr>
            <w:tcW w:w="3213" w:type="dxa"/>
          </w:tcPr>
          <w:p>
            <w:pPr>
              <w:pStyle w:val="Tableau"/>
            </w:pPr>
            <w:r>
              <w:t xml:space="preserve">4 RUE PIERRE DE COUBERTIN</w:t>
            </w:r>
          </w:p>
        </w:tc>
        <w:tc>
          <w:tcPr>
            <w:tcW w:w="2142" w:type="dxa"/>
          </w:tcPr>
          <w:p>
            <w:pPr>
              <w:pStyle w:val="Tableau"/>
            </w:pPr>
            <w:r>
              <w:t xml:space="preserve">920 m, La Torse</w:t>
            </w:r>
          </w:p>
        </w:tc>
        <w:tc>
          <w:tcPr>
            <w:tcW w:w="1071" w:type="dxa"/>
          </w:tcPr>
          <w:p>
            <w:pPr>
              <w:pStyle w:val="Tableau"/>
            </w:pPr>
            <w:r>
              <w:t xml:space="preserve">2013</w:t>
            </w:r>
          </w:p>
        </w:tc>
      </w:tr>
      <w:tr>
        <w:trPr>
          <w:cantSplit/>
        </w:trPr>
        <w:tc>
          <w:tcPr>
            <w:tcW w:w="3213" w:type="dxa"/>
          </w:tcPr>
          <w:p>
            <w:pPr>
              <w:pStyle w:val="Tableau"/>
            </w:pPr>
            <w:r>
              <w:t xml:space="preserve">BOULANGERIE PATISSERIE DES ALPES</w:t>
            </w:r>
          </w:p>
        </w:tc>
        <w:tc>
          <w:tcPr>
            <w:tcW w:w="3213" w:type="dxa"/>
          </w:tcPr>
          <w:p>
            <w:pPr>
              <w:pStyle w:val="Tableau"/>
            </w:pPr>
            <w:r>
              <w:t xml:space="preserve">2 AVENUE JEAN MOULIN</w:t>
            </w:r>
          </w:p>
        </w:tc>
        <w:tc>
          <w:tcPr>
            <w:tcW w:w="2142" w:type="dxa"/>
          </w:tcPr>
          <w:p>
            <w:pPr>
              <w:pStyle w:val="Tableau"/>
            </w:pPr>
            <w:r>
              <w:t xml:space="preserve">970 m, Pont de Béraud</w:t>
            </w:r>
          </w:p>
        </w:tc>
        <w:tc>
          <w:tcPr>
            <w:tcW w:w="1071" w:type="dxa"/>
          </w:tcPr>
          <w:p>
            <w:pPr>
              <w:pStyle w:val="Tableau"/>
            </w:pPr>
            <w:r>
              <w:t xml:space="preserve">2002</w:t>
            </w:r>
          </w:p>
        </w:tc>
      </w:tr>
      <w:tr>
        <w:trPr>
          <w:cantSplit/>
        </w:trPr>
        <w:tc>
          <w:tcPr>
            <w:tcW w:w="3213" w:type="dxa"/>
          </w:tcPr>
          <w:p>
            <w:pPr>
              <w:pStyle w:val="Tableau"/>
            </w:pPr>
            <w:r>
              <w:t xml:space="preserve">LE FOURNIL DE SMAT</w:t>
            </w:r>
          </w:p>
        </w:tc>
        <w:tc>
          <w:tcPr>
            <w:tcW w:w="3213" w:type="dxa"/>
          </w:tcPr>
          <w:p>
            <w:pPr>
              <w:pStyle w:val="Tableau"/>
            </w:pPr>
            <w:r>
              <w:t xml:space="preserve">2 AVENUE JEAN MOULIN</w:t>
            </w:r>
          </w:p>
        </w:tc>
        <w:tc>
          <w:tcPr>
            <w:tcW w:w="2142" w:type="dxa"/>
          </w:tcPr>
          <w:p>
            <w:pPr>
              <w:pStyle w:val="Tableau"/>
            </w:pPr>
            <w:r>
              <w:t xml:space="preserve">970 m, Pont de Béraud</w:t>
            </w:r>
          </w:p>
        </w:tc>
        <w:tc>
          <w:tcPr>
            <w:tcW w:w="1071" w:type="dxa"/>
          </w:tcPr>
          <w:p>
            <w:pPr>
              <w:pStyle w:val="Tableau"/>
            </w:pPr>
            <w:r>
              <w:t xml:space="preserve">2013</w:t>
            </w:r>
          </w:p>
        </w:tc>
      </w:tr>
    </w:tbl>
    <w:p>
      <w:pPr>
        <w:pStyle w:val="Tableau"/>
      </w:pPr>
    </w:p>
    <w:p>
      <w:r>
        <w:t xml:space="preserve">Ancienneté des concurrents du quartier : 2015 à 2019 : 1 ; 2020 à 2022 : 1.</w:t>
      </w:r>
    </w:p>
    <w:p>
      <w:pPr>
        <w:pStyle w:val="Heading2"/>
      </w:pPr>
      <w:r>
        <w:t xml:space="preserve">Activités voisines, même marché</w:t>
      </w:r>
    </w:p>
    <w:tbl>
      <w:tblPr>
        <w:tblStyle w:val="Grille"/>
        <w:tblW w:w="9638" w:type="dxa"/>
        <w:tblLayout w:type="fixed"/>
      </w:tblPr>
      <w:tblGrid>
        <w:gridCol w:w="4131"/>
        <w:gridCol w:w="4131"/>
        <w:gridCol w:w="1377"/>
      </w:tblGrid>
      <w:tr>
        <w:trPr>
          <w:tblHeader/>
        </w:trPr>
        <w:tc>
          <w:tcPr>
            <w:tcW w:w="4131" w:type="dxa"/>
            <w:shd w:val="clear" w:color="auto" w:fill="EDEEF1"/>
          </w:tcPr>
          <w:p>
            <w:pPr>
              <w:pStyle w:val="Tableau"/>
            </w:pPr>
            <w:r>
              <w:rPr>
                <w:b/>
              </w:rPr>
              <w:t xml:space="preserve">Établissement</w:t>
            </w:r>
          </w:p>
        </w:tc>
        <w:tc>
          <w:tcPr>
            <w:tcW w:w="4131" w:type="dxa"/>
            <w:shd w:val="clear" w:color="auto" w:fill="EDEEF1"/>
          </w:tcPr>
          <w:p>
            <w:pPr>
              <w:pStyle w:val="Tableau"/>
            </w:pPr>
            <w:r>
              <w:rPr>
                <w:b/>
              </w:rPr>
              <w:t xml:space="preserve">Activité</w:t>
            </w:r>
          </w:p>
        </w:tc>
        <w:tc>
          <w:tcPr>
            <w:tcW w:w="1377" w:type="dxa"/>
            <w:shd w:val="clear" w:color="auto" w:fill="EDEEF1"/>
          </w:tcPr>
          <w:p>
            <w:pPr>
              <w:pStyle w:val="Tableau"/>
            </w:pPr>
            <w:r>
              <w:rPr>
                <w:b/>
              </w:rPr>
              <w:t xml:space="preserve">Depuis</w:t>
            </w:r>
          </w:p>
        </w:tc>
      </w:tr>
      <w:tr>
        <w:trPr>
          <w:cantSplit/>
        </w:trPr>
        <w:tc>
          <w:tcPr>
            <w:tcW w:w="4131" w:type="dxa"/>
          </w:tcPr>
          <w:p>
            <w:pPr>
              <w:pStyle w:val="Tableau"/>
            </w:pPr>
            <w:r>
              <w:t xml:space="preserve">DELICES ENCHANTHES</w:t>
            </w:r>
          </w:p>
        </w:tc>
        <w:tc>
          <w:tcPr>
            <w:tcW w:w="4131" w:type="dxa"/>
          </w:tcPr>
          <w:p>
            <w:pPr>
              <w:pStyle w:val="Tableau"/>
            </w:pPr>
            <w:r>
              <w:t xml:space="preserve">Pâtisserie (10.71D)</w:t>
            </w:r>
          </w:p>
        </w:tc>
        <w:tc>
          <w:tcPr>
            <w:tcW w:w="1377" w:type="dxa"/>
          </w:tcPr>
          <w:p>
            <w:pPr>
              <w:pStyle w:val="Tableau"/>
            </w:pPr>
            <w:r>
              <w:t xml:space="preserve">2024</w:t>
            </w:r>
          </w:p>
        </w:tc>
      </w:tr>
      <w:tr>
        <w:trPr>
          <w:cantSplit/>
        </w:trPr>
        <w:tc>
          <w:tcPr>
            <w:tcW w:w="4131" w:type="dxa"/>
          </w:tcPr>
          <w:p>
            <w:pPr>
              <w:pStyle w:val="Tableau"/>
            </w:pPr>
            <w:r>
              <w:t xml:space="preserve">SA PATISSERIE BECHARD</w:t>
            </w:r>
          </w:p>
        </w:tc>
        <w:tc>
          <w:tcPr>
            <w:tcW w:w="4131" w:type="dxa"/>
          </w:tcPr>
          <w:p>
            <w:pPr>
              <w:pStyle w:val="Tableau"/>
            </w:pPr>
            <w:r>
              <w:t xml:space="preserve">Pâtisserie (10.71D)</w:t>
            </w:r>
          </w:p>
        </w:tc>
        <w:tc>
          <w:tcPr>
            <w:tcW w:w="1377" w:type="dxa"/>
          </w:tcPr>
          <w:p>
            <w:pPr>
              <w:pStyle w:val="Tableau"/>
            </w:pPr>
            <w:r>
              <w:t xml:space="preserve">1970</w:t>
            </w:r>
          </w:p>
        </w:tc>
      </w:tr>
      <w:tr>
        <w:trPr>
          <w:cantSplit/>
        </w:trPr>
        <w:tc>
          <w:tcPr>
            <w:tcW w:w="4131" w:type="dxa"/>
          </w:tcPr>
          <w:p>
            <w:pPr>
              <w:pStyle w:val="Tableau"/>
            </w:pPr>
            <w:r>
              <w:t xml:space="preserve">CALISSON LEONARD PARLI</w:t>
            </w:r>
          </w:p>
        </w:tc>
        <w:tc>
          <w:tcPr>
            <w:tcW w:w="4131" w:type="dxa"/>
          </w:tcPr>
          <w:p>
            <w:pPr>
              <w:pStyle w:val="Tableau"/>
            </w:pPr>
            <w:r>
              <w:t xml:space="preserve">Dépôt de pain et confiserie (47.24Z)</w:t>
            </w:r>
          </w:p>
        </w:tc>
        <w:tc>
          <w:tcPr>
            <w:tcW w:w="1377" w:type="dxa"/>
          </w:tcPr>
          <w:p>
            <w:pPr>
              <w:pStyle w:val="Tableau"/>
            </w:pPr>
            <w:r>
              <w:t xml:space="preserve">2022</w:t>
            </w:r>
          </w:p>
        </w:tc>
      </w:tr>
      <w:tr>
        <w:trPr>
          <w:cantSplit/>
        </w:trPr>
        <w:tc>
          <w:tcPr>
            <w:tcW w:w="4131" w:type="dxa"/>
          </w:tcPr>
          <w:p>
            <w:pPr>
              <w:pStyle w:val="Tableau"/>
            </w:pPr>
            <w:r>
              <w:t xml:space="preserve">LES CHOCOLATS YVES THURIES</w:t>
            </w:r>
          </w:p>
        </w:tc>
        <w:tc>
          <w:tcPr>
            <w:tcW w:w="4131" w:type="dxa"/>
          </w:tcPr>
          <w:p>
            <w:pPr>
              <w:pStyle w:val="Tableau"/>
            </w:pPr>
            <w:r>
              <w:t xml:space="preserve">Dépôt de pain et confiserie (47.24Z)</w:t>
            </w:r>
          </w:p>
        </w:tc>
        <w:tc>
          <w:tcPr>
            <w:tcW w:w="1377" w:type="dxa"/>
          </w:tcPr>
          <w:p>
            <w:pPr>
              <w:pStyle w:val="Tableau"/>
            </w:pPr>
            <w:r>
              <w:t xml:space="preserve">2008</w:t>
            </w:r>
          </w:p>
        </w:tc>
      </w:tr>
    </w:tbl>
    <w:p>
      <w:pPr>
        <w:pStyle w:val="Tableau"/>
      </w:pPr>
    </w:p>
    <w:p>
      <w:r>
        <w:t xml:space="preserve">Ce qui distinguera notre offre : </w:t>
      </w:r>
      <w:r>
        <w:rPr>
          <w:highlight w:val="yellow"/>
        </w:rPr>
        <w:t xml:space="preserve">[prix, gamme, qualité, horaires, service : ce que les concurrents ci-dessus ne proposent pas]</w:t>
      </w:r>
      <w:r>
        <w:t xml:space="preserve">.</w:t>
      </w:r>
    </w:p>
    <w:p>
      <w:pPr>
        <w:pStyle w:val="Note"/>
      </w:pPr>
      <w:r>
        <w:t xml:space="preserve">Établissements actifs des répertoires publics (Sirene, BPE, Finess) au 27 octobre 2026 ; « depuis » : année d’installation à l’adresse. Distances à vol d’oiseau depuis le centre du quartier.</w:t>
      </w:r>
    </w:p>
    <w:p>
      <w:pPr>
        <w:pStyle w:val="Heading1"/>
      </w:pPr>
      <w:r>
        <w:t xml:space="preserve">4. Le métier à Aix-en-Provence</w:t>
      </w:r>
    </w:p>
    <w:p>
      <w:r>
        <w:t xml:space="preserve">80 établissements de boulangerie en activité dans la commune. Sur les trois dernières années : 30 ouvertures et 22 fermetures, soit un taux de fermeture de 22 %.</w:t>
      </w:r>
    </w:p>
    <w:p>
      <w:r>
        <w:t xml:space="preserve">Sur les 22 ouvertures de 2019 à 2022 dans la commune, 86 % étaient encore en activité trois ans plus tard (moyenne du département : 85 %).</w:t>
      </w:r>
    </w:p>
    <w:p>
      <w:r>
        <w:t xml:space="preserve">Dans le quartier, un commerce qui ferme a tenu 5,7 ans en médiane à la même adresse (124 adresses où des commerces se sont succédé).</w:t>
      </w:r>
    </w:p>
    <w:p>
      <w:pPr>
        <w:pStyle w:val="Note"/>
      </w:pPr>
      <w:r>
        <w:t xml:space="preserve">Calculs MonEmplacement sur le répertoire Sirene (Insee). Sirene enregistre des créations et des radiations, pas des faillites : une fermeture peut être une vente, un déménagement ou une transformation.</w:t>
      </w:r>
    </w:p>
    <w:p>
      <w:pPr>
        <w:pStyle w:val="Heading1"/>
      </w:pPr>
      <w:r>
        <w:t xml:space="preserve">5. Le marché et le chiffre d’affaires</w:t>
      </w:r>
    </w:p>
    <w:p>
      <w:r>
        <w:t xml:space="preserve">Méthode par le marché. Les 18 509 habitants de la zone dépensent en moyenne 220 € par an et par personne en boulangerie, soit environ 4 070 000 € par an. 18 établissements de ce métier se partagent déjà cette dépense dans la zone.</w:t>
      </w:r>
    </w:p>
    <w:tbl>
      <w:tblPr>
        <w:tblStyle w:val="Grille"/>
        <w:tblW w:w="9638" w:type="dxa"/>
        <w:tblLayout w:type="fixed"/>
      </w:tblPr>
      <w:tblGrid>
        <w:gridCol w:w="3213"/>
        <w:gridCol w:w="3213"/>
        <w:gridCol w:w="3213"/>
      </w:tblGrid>
      <w:tr>
        <w:trPr>
          <w:tblHeader/>
        </w:trPr>
        <w:tc>
          <w:tcPr>
            <w:tcW w:w="3213" w:type="dxa"/>
            <w:shd w:val="clear" w:color="auto" w:fill="EDEEF1"/>
          </w:tcPr>
          <w:p>
            <w:pPr>
              <w:pStyle w:val="Tableau"/>
            </w:pPr>
            <w:r>
              <w:rPr>
                <w:b/>
              </w:rPr>
              <w:t xml:space="preserve">Part de marché captée</w:t>
            </w:r>
          </w:p>
        </w:tc>
        <w:tc>
          <w:tcPr>
            <w:tcW w:w="3213" w:type="dxa"/>
            <w:shd w:val="clear" w:color="auto" w:fill="EDEEF1"/>
          </w:tcPr>
          <w:p>
            <w:pPr>
              <w:pStyle w:val="Tableau"/>
            </w:pPr>
            <w:r>
              <w:rPr>
                <w:b/>
              </w:rPr>
              <w:t xml:space="preserve">Chiffre d’affaires annuel</w:t>
            </w:r>
          </w:p>
        </w:tc>
        <w:tc>
          <w:tcPr>
            <w:tcW w:w="3213" w:type="dxa"/>
            <w:shd w:val="clear" w:color="auto" w:fill="EDEEF1"/>
          </w:tcPr>
          <w:p>
            <w:pPr>
              <w:pStyle w:val="Tableau"/>
            </w:pPr>
            <w:r>
              <w:rPr>
                <w:b/>
              </w:rPr>
              <w:t xml:space="preserve">Par jour d’ouverture (300 jours)</w:t>
            </w:r>
          </w:p>
        </w:tc>
      </w:tr>
      <w:tr>
        <w:trPr>
          <w:cantSplit/>
        </w:trPr>
        <w:tc>
          <w:tcPr>
            <w:tcW w:w="3213" w:type="dxa"/>
          </w:tcPr>
          <w:p>
            <w:pPr>
              <w:pStyle w:val="Tableau"/>
            </w:pPr>
            <w:r>
              <w:t xml:space="preserve">5 %</w:t>
            </w:r>
          </w:p>
        </w:tc>
        <w:tc>
          <w:tcPr>
            <w:tcW w:w="3213" w:type="dxa"/>
          </w:tcPr>
          <w:p>
            <w:pPr>
              <w:pStyle w:val="Tableau"/>
            </w:pPr>
            <w:r>
              <w:t xml:space="preserve">204 000 €</w:t>
            </w:r>
          </w:p>
        </w:tc>
        <w:tc>
          <w:tcPr>
            <w:tcW w:w="3213" w:type="dxa"/>
          </w:tcPr>
          <w:p>
            <w:pPr>
              <w:pStyle w:val="Tableau"/>
            </w:pPr>
            <w:r>
              <w:t xml:space="preserve">680 €</w:t>
            </w:r>
          </w:p>
        </w:tc>
      </w:tr>
      <w:tr>
        <w:trPr>
          <w:cantSplit/>
        </w:trPr>
        <w:tc>
          <w:tcPr>
            <w:tcW w:w="3213" w:type="dxa"/>
          </w:tcPr>
          <w:p>
            <w:pPr>
              <w:pStyle w:val="Tableau"/>
            </w:pPr>
            <w:r>
              <w:rPr>
                <w:b/>
              </w:rPr>
              <w:t xml:space="preserve">5,3 % (part égale)</w:t>
            </w:r>
          </w:p>
        </w:tc>
        <w:tc>
          <w:tcPr>
            <w:tcW w:w="3213" w:type="dxa"/>
          </w:tcPr>
          <w:p>
            <w:pPr>
              <w:pStyle w:val="Tableau"/>
            </w:pPr>
            <w:r>
              <w:rPr>
                <w:b/>
              </w:rPr>
              <w:t xml:space="preserve">214 000 €</w:t>
            </w:r>
          </w:p>
        </w:tc>
        <w:tc>
          <w:tcPr>
            <w:tcW w:w="3213" w:type="dxa"/>
          </w:tcPr>
          <w:p>
            <w:pPr>
              <w:pStyle w:val="Tableau"/>
            </w:pPr>
            <w:r>
              <w:rPr>
                <w:b/>
              </w:rPr>
              <w:t xml:space="preserve">710 €</w:t>
            </w:r>
          </w:p>
        </w:tc>
      </w:tr>
      <w:tr>
        <w:trPr>
          <w:cantSplit/>
        </w:trPr>
        <w:tc>
          <w:tcPr>
            <w:tcW w:w="3213" w:type="dxa"/>
          </w:tcPr>
          <w:p>
            <w:pPr>
              <w:pStyle w:val="Tableau"/>
            </w:pPr>
            <w:r>
              <w:t xml:space="preserve">10 %</w:t>
            </w:r>
          </w:p>
        </w:tc>
        <w:tc>
          <w:tcPr>
            <w:tcW w:w="3213" w:type="dxa"/>
          </w:tcPr>
          <w:p>
            <w:pPr>
              <w:pStyle w:val="Tableau"/>
            </w:pPr>
            <w:r>
              <w:t xml:space="preserve">407 000 €</w:t>
            </w:r>
          </w:p>
        </w:tc>
        <w:tc>
          <w:tcPr>
            <w:tcW w:w="3213" w:type="dxa"/>
          </w:tcPr>
          <w:p>
            <w:pPr>
              <w:pStyle w:val="Tableau"/>
            </w:pPr>
            <w:r>
              <w:t xml:space="preserve">1 360 €</w:t>
            </w:r>
          </w:p>
        </w:tc>
      </w:tr>
      <w:tr>
        <w:trPr>
          <w:cantSplit/>
        </w:trPr>
        <w:tc>
          <w:tcPr>
            <w:tcW w:w="3213" w:type="dxa"/>
          </w:tcPr>
          <w:p>
            <w:pPr>
              <w:pStyle w:val="Tableau"/>
            </w:pPr>
            <w:r>
              <w:t xml:space="preserve">20 %</w:t>
            </w:r>
          </w:p>
        </w:tc>
        <w:tc>
          <w:tcPr>
            <w:tcW w:w="3213" w:type="dxa"/>
          </w:tcPr>
          <w:p>
            <w:pPr>
              <w:pStyle w:val="Tableau"/>
            </w:pPr>
            <w:r>
              <w:t xml:space="preserve">814 000 €</w:t>
            </w:r>
          </w:p>
        </w:tc>
        <w:tc>
          <w:tcPr>
            <w:tcW w:w="3213" w:type="dxa"/>
          </w:tcPr>
          <w:p>
            <w:pPr>
              <w:pStyle w:val="Tableau"/>
            </w:pPr>
            <w:r>
              <w:t xml:space="preserve">2 710 €</w:t>
            </w:r>
          </w:p>
        </w:tc>
      </w:tr>
      <w:tr>
        <w:trPr>
          <w:cantSplit/>
        </w:trPr>
        <w:tc>
          <w:tcPr>
            <w:tcW w:w="3213" w:type="dxa"/>
          </w:tcPr>
          <w:p>
            <w:pPr>
              <w:pStyle w:val="Tableau"/>
            </w:pPr>
            <w:r>
              <w:t xml:space="preserve">30 %</w:t>
            </w:r>
          </w:p>
        </w:tc>
        <w:tc>
          <w:tcPr>
            <w:tcW w:w="3213" w:type="dxa"/>
          </w:tcPr>
          <w:p>
            <w:pPr>
              <w:pStyle w:val="Tableau"/>
            </w:pPr>
            <w:r>
              <w:t xml:space="preserve">1 221 000 €</w:t>
            </w:r>
          </w:p>
        </w:tc>
        <w:tc>
          <w:tcPr>
            <w:tcW w:w="3213" w:type="dxa"/>
          </w:tcPr>
          <w:p>
            <w:pPr>
              <w:pStyle w:val="Tableau"/>
            </w:pPr>
            <w:r>
              <w:t xml:space="preserve">4 070 €</w:t>
            </w:r>
          </w:p>
        </w:tc>
      </w:tr>
    </w:tbl>
    <w:p>
      <w:pPr>
        <w:pStyle w:val="Tableau"/>
      </w:pPr>
    </w:p>
    <w:p>
      <w:r>
        <w:t xml:space="preserve">La zone compte déjà 18 établissements de boulangerie. À parts égales avec eux, vous en capteriez 1 sur 19, soit 5,3 % : un repère arithmétique, pas une prévision. Une offre qui se distingue, un meilleur emplacement ou des horaires plus larges justifient de viser au-dessus ; un démarrage, souvent en dessous.</w:t>
      </w:r>
    </w:p>
    <w:p>
      <w:r>
        <w:t xml:space="preserve">Repère national (Insee, Ésane 2023) : les entreprises de boulangerie réalisent en moyenne 531 000 € de chiffre d’affaires par an, et les microentreprises (moins de 10 salariés) de leur groupe d’activité, fabrication de produits de boulangerie-pâtisserie et de pâtes alimentaires, 256 000 €. Une moyenne nationale, qui ne dit rien de ce quartier ni de votre projet : elle sert à vérifier que votre hypothèse reste dans un ordre de grandeur réaliste.</w:t>
      </w:r>
    </w:p>
    <w:p>
      <w:pPr>
        <w:pStyle w:val="Heading2"/>
      </w:pPr>
      <w:r>
        <w:t xml:space="preserve">Notre hypothèse</w:t>
      </w:r>
    </w:p>
    <w:p>
      <w:r>
        <w:t xml:space="preserve">Nous retenons une part de marché de </w:t>
      </w:r>
      <w:r>
        <w:rPr>
          <w:highlight w:val="yellow"/>
        </w:rPr>
        <w:t xml:space="preserve">[ ] %</w:t>
      </w:r>
      <w:r>
        <w:t xml:space="preserve"> de la dépense des habitants de la zone, soit un chiffre d’affaires de </w:t>
      </w:r>
      <w:r>
        <w:rPr>
          <w:highlight w:val="yellow"/>
        </w:rPr>
        <w:t xml:space="preserve">[ ] €</w:t>
      </w:r>
      <w:r>
        <w:t xml:space="preserve"> la première année. Cette part se justifie par : </w:t>
      </w:r>
      <w:r>
        <w:rPr>
          <w:highlight w:val="yellow"/>
        </w:rPr>
        <w:t xml:space="preserve">[emplacement, offre, horaires, concurrence la plus proche, clientèle de passage]</w:t>
      </w:r>
      <w:r>
        <w:t xml:space="preserve">.</w:t>
      </w:r>
    </w:p>
    <w:p>
      <w:pPr>
        <w:pStyle w:val="Heading2"/>
      </w:pPr>
      <w:r>
        <w:t xml:space="preserve">Contrôle par l’activité</w:t>
      </w:r>
    </w:p>
    <w:tbl>
      <w:tblPr>
        <w:tblStyle w:val="Grille"/>
        <w:tblW w:w="9638" w:type="dxa"/>
        <w:tblLayout w:type="fixed"/>
      </w:tblPr>
      <w:tblGrid>
        <w:gridCol w:w="2410"/>
        <w:gridCol w:w="2410"/>
        <w:gridCol w:w="2410"/>
        <w:gridCol w:w="2410"/>
      </w:tblGrid>
      <w:tr>
        <w:trPr>
          <w:tblHeader/>
        </w:trPr>
        <w:tc>
          <w:tcPr>
            <w:tcW w:w="2410" w:type="dxa"/>
            <w:shd w:val="clear" w:color="auto" w:fill="EDEEF1"/>
          </w:tcPr>
          <w:p>
            <w:pPr>
              <w:pStyle w:val="Tableau"/>
            </w:pPr>
            <w:r>
              <w:rPr>
                <w:b/>
              </w:rPr>
              <w:t xml:space="preserve">Clients par jour</w:t>
            </w:r>
          </w:p>
        </w:tc>
        <w:tc>
          <w:tcPr>
            <w:tcW w:w="2410" w:type="dxa"/>
            <w:shd w:val="clear" w:color="auto" w:fill="EDEEF1"/>
          </w:tcPr>
          <w:p>
            <w:pPr>
              <w:pStyle w:val="Tableau"/>
            </w:pPr>
            <w:r>
              <w:rPr>
                <w:b/>
              </w:rPr>
              <w:t xml:space="preserve">Panier moyen</w:t>
            </w:r>
          </w:p>
        </w:tc>
        <w:tc>
          <w:tcPr>
            <w:tcW w:w="2410" w:type="dxa"/>
            <w:shd w:val="clear" w:color="auto" w:fill="EDEEF1"/>
          </w:tcPr>
          <w:p>
            <w:pPr>
              <w:pStyle w:val="Tableau"/>
            </w:pPr>
            <w:r>
              <w:rPr>
                <w:b/>
              </w:rPr>
              <w:t xml:space="preserve">Jours d’ouverture par an</w:t>
            </w:r>
          </w:p>
        </w:tc>
        <w:tc>
          <w:tcPr>
            <w:tcW w:w="2410" w:type="dxa"/>
            <w:shd w:val="clear" w:color="auto" w:fill="EDEEF1"/>
          </w:tcPr>
          <w:p>
            <w:pPr>
              <w:pStyle w:val="Tableau"/>
            </w:pPr>
            <w:r>
              <w:rPr>
                <w:b/>
              </w:rPr>
              <w:t xml:space="preserve">Chiffre d’affaires annuel</w:t>
            </w:r>
          </w:p>
        </w:tc>
      </w:tr>
      <w:tr>
        <w:trPr>
          <w:cantSplit/>
        </w:trPr>
        <w:tc>
          <w:tcPr>
            <w:tcW w:w="2410" w:type="dxa"/>
          </w:tcPr>
          <w:p>
            <w:pPr>
              <w:pStyle w:val="Tableau"/>
            </w:pPr>
            <w:r>
              <w:rPr>
                <w:highlight w:val="yellow"/>
              </w:rPr>
              <w:t xml:space="preserve">[ ]</w:t>
            </w:r>
          </w:p>
        </w:tc>
        <w:tc>
          <w:tcPr>
            <w:tcW w:w="2410" w:type="dxa"/>
          </w:tcPr>
          <w:p>
            <w:pPr>
              <w:pStyle w:val="Tableau"/>
            </w:pPr>
            <w:r>
              <w:rPr>
                <w:highlight w:val="yellow"/>
              </w:rPr>
              <w:t xml:space="preserve">[ ] €</w:t>
            </w:r>
          </w:p>
        </w:tc>
        <w:tc>
          <w:tcPr>
            <w:tcW w:w="2410" w:type="dxa"/>
          </w:tcPr>
          <w:p>
            <w:pPr>
              <w:pStyle w:val="Tableau"/>
            </w:pPr>
            <w:r>
              <w:rPr>
                <w:highlight w:val="yellow"/>
              </w:rPr>
              <w:t xml:space="preserve">300</w:t>
            </w:r>
          </w:p>
        </w:tc>
        <w:tc>
          <w:tcPr>
            <w:tcW w:w="2410" w:type="dxa"/>
          </w:tcPr>
          <w:p>
            <w:pPr>
              <w:pStyle w:val="Tableau"/>
            </w:pPr>
            <w:r>
              <w:rPr>
                <w:highlight w:val="yellow"/>
              </w:rPr>
              <w:t xml:space="preserve">[ ] €</w:t>
            </w:r>
          </w:p>
        </w:tc>
      </w:tr>
    </w:tbl>
    <w:p>
      <w:pPr>
        <w:pStyle w:val="Tableau"/>
      </w:pPr>
    </w:p>
    <w:p>
      <w:r>
        <w:t xml:space="preserve">Les deux méthodes doivent donner des ordres de grandeur proches. Un écart important se discute avant de présenter le prévisionnel : soit la part de marché est trop optimiste, soit la fréquentation du local est sous-estimée.</w:t>
      </w:r>
    </w:p>
    <w:p>
      <w:pPr>
        <w:pStyle w:val="Note"/>
      </w:pPr>
      <w:r>
        <w:t xml:space="preserve">Dépense moyenne nationale par habitant (Insee : enquête Budget de famille et Ésane), sans modulation par le niveau de vie local : un ordre de grandeur. Elle ne compte que les habitants de la zone ; les 1 762 emplois salariés du quartier et la clientèle de passage s’y ajoutent, et à l’inverse une partie des habitants achète ailleurs. La part de marché et le chiffre d’affaires retenus sont nos hypothèses.</w:t>
      </w:r>
    </w:p>
    <w:p>
      <w:pPr>
        <w:pStyle w:val="Heading1"/>
      </w:pPr>
      <w:r>
        <w:t xml:space="preserve">6. Le local et le quartier demain</w:t>
      </w:r>
    </w:p>
    <w:p>
      <w:r>
        <w:t xml:space="preserve">Loyer du local : </w:t>
      </w:r>
      <w:r>
        <w:rPr>
          <w:highlight w:val="yellow"/>
        </w:rPr>
        <w:t xml:space="preserve">[ ] € HT par mois</w:t>
      </w:r>
      <w:r>
        <w:t xml:space="preserve">, soit </w:t>
      </w:r>
      <w:r>
        <w:rPr>
          <w:highlight w:val="yellow"/>
        </w:rPr>
        <w:t xml:space="preserve">[ ] € HT par m² et par an</w:t>
      </w:r>
      <w:r>
        <w:t xml:space="preserve"> ; surface : </w:t>
      </w:r>
      <w:r>
        <w:rPr>
          <w:highlight w:val="yellow"/>
        </w:rPr>
        <w:t xml:space="preserve">[ ] m²</w:t>
      </w:r>
      <w:r>
        <w:t xml:space="preserve">.</w:t>
      </w:r>
    </w:p>
    <w:p>
      <w:r>
        <w:t xml:space="preserve">Prix d’achat des murs commerciaux à Aix-en-Provence : 3 667 € par m² en médiane, sur 763 ventes en cinq ans (+4 % sur la période) ; 4 200 € par m² dans le quartier (39 ventes). C’est un prix d’achat (DGFiP, demandes de valeurs foncières), pas un loyer.</w:t>
      </w:r>
    </w:p>
    <w:p>
      <w:r>
        <w:t xml:space="preserve">Loyer d’annonce des appartements à Aix-en-Provence : 18,7 € par m² et par mois (carte des loyers, ANIL). Un repère de la tension immobilière, jamais un loyer commercial.</w:t>
      </w:r>
    </w:p>
    <w:p>
      <w:r>
        <w:t xml:space="preserve">3 logements autorisés en trois ans dans le quartier (3 permiss de construire, Sitadel), soit environ 10 habitants de plus à terme. Prix de vente médian des logements : 5 882 € par m² (99 ventes, -3 %), marché stable.</w:t>
      </w:r>
    </w:p>
    <w:p>
      <w:pPr>
        <w:pStyle w:val="Heading1"/>
      </w:pPr>
      <w:r>
        <w:t xml:space="preserve">Sources</w:t>
      </w:r>
    </w:p>
    <w:p>
      <w:pPr>
        <w:pStyle w:val="ListParagraph"/>
        <w:numPr>
          <w:ilvl w:val="0"/>
          <w:numId w:val="1"/>
        </w:numPr>
      </w:pPr>
      <w:r>
        <w:t xml:space="preserve">Insee, Sirene, octobre 2026</w:t>
      </w:r>
    </w:p>
    <w:p>
      <w:pPr>
        <w:pStyle w:val="ListParagraph"/>
        <w:numPr>
          <w:ilvl w:val="0"/>
          <w:numId w:val="1"/>
        </w:numPr>
      </w:pPr>
      <w:r>
        <w:t xml:space="preserve">Insee, Base permanente des équipements 2025</w:t>
      </w:r>
    </w:p>
    <w:p>
      <w:pPr>
        <w:pStyle w:val="ListParagraph"/>
        <w:numPr>
          <w:ilvl w:val="0"/>
          <w:numId w:val="1"/>
        </w:numPr>
      </w:pPr>
      <w:r>
        <w:t xml:space="preserve">Insee, Filosofi 2021 (dernier millésime)</w:t>
      </w:r>
    </w:p>
    <w:p>
      <w:pPr>
        <w:pStyle w:val="ListParagraph"/>
        <w:numPr>
          <w:ilvl w:val="0"/>
          <w:numId w:val="1"/>
        </w:numPr>
      </w:pPr>
      <w:r>
        <w:t xml:space="preserve">Insee, Recensement de la population 2022</w:t>
      </w:r>
    </w:p>
    <w:p>
      <w:pPr>
        <w:pStyle w:val="ListParagraph"/>
        <w:numPr>
          <w:ilvl w:val="0"/>
          <w:numId w:val="1"/>
        </w:numPr>
      </w:pPr>
      <w:r>
        <w:t xml:space="preserve">AtlaSanté, t_finess, octobre 2026</w:t>
      </w:r>
    </w:p>
    <w:p>
      <w:pPr>
        <w:pStyle w:val="ListParagraph"/>
        <w:numPr>
          <w:ilvl w:val="0"/>
          <w:numId w:val="1"/>
        </w:numPr>
      </w:pPr>
      <w:r>
        <w:t xml:space="preserve">Dila, Bodacc, annonces jusqu'au 27/10/2026</w:t>
      </w:r>
    </w:p>
    <w:p>
      <w:pPr>
        <w:pStyle w:val="ListParagraph"/>
        <w:numPr>
          <w:ilvl w:val="0"/>
          <w:numId w:val="1"/>
        </w:numPr>
      </w:pPr>
      <w:r>
        <w:t xml:space="preserve">IGN &amp; Insee, Contours Iris édition 2026</w:t>
      </w:r>
    </w:p>
    <w:p>
      <w:pPr>
        <w:pStyle w:val="ListParagraph"/>
        <w:numPr>
          <w:ilvl w:val="0"/>
          <w:numId w:val="1"/>
        </w:numPr>
      </w:pPr>
      <w:r>
        <w:t xml:space="preserve">transport.data.gouv.fr, arrêts consolidés, SYTRAL Mobilités, points d'arrêt TCL (data.grandlyon.com), octobre 2026</w:t>
      </w:r>
    </w:p>
    <w:p>
      <w:pPr>
        <w:pStyle w:val="ListParagraph"/>
        <w:numPr>
          <w:ilvl w:val="0"/>
          <w:numId w:val="1"/>
        </w:numPr>
      </w:pPr>
      <w:r>
        <w:t xml:space="preserve">Éducation nationale, annuaire et effectifs, rentrée 2025</w:t>
      </w:r>
    </w:p>
    <w:p>
      <w:pPr>
        <w:pStyle w:val="ListParagraph"/>
        <w:numPr>
          <w:ilvl w:val="0"/>
          <w:numId w:val="1"/>
        </w:numPr>
      </w:pPr>
      <w:r>
        <w:t xml:space="preserve">ANCT, Quartiers prioritaires de la ville 2024</w:t>
      </w:r>
    </w:p>
    <w:p>
      <w:pPr>
        <w:pStyle w:val="ListParagraph"/>
        <w:numPr>
          <w:ilvl w:val="0"/>
          <w:numId w:val="1"/>
        </w:numPr>
      </w:pPr>
      <w:r>
        <w:t xml:space="preserve">ANIL / MTE, carte des loyers 2024</w:t>
      </w:r>
    </w:p>
    <w:p>
      <w:pPr>
        <w:pStyle w:val="ListParagraph"/>
        <w:numPr>
          <w:ilvl w:val="0"/>
          <w:numId w:val="1"/>
        </w:numPr>
      </w:pPr>
      <w:r>
        <w:t xml:space="preserve">DGFiP / Etalab, Demandes de valeurs foncières 2021-2025</w:t>
      </w:r>
    </w:p>
    <w:p>
      <w:pPr>
        <w:pStyle w:val="ListParagraph"/>
        <w:numPr>
          <w:ilvl w:val="0"/>
          <w:numId w:val="1"/>
        </w:numPr>
      </w:pPr>
      <w:r>
        <w:t xml:space="preserve">SDES, Sitadel (permis de construire), octobre 2026</w:t>
      </w:r>
    </w:p>
    <w:p>
      <w:pPr>
        <w:pStyle w:val="Note"/>
      </w:pPr>
      <w:r>
        <w:t xml:space="preserve">Données publiques réutilisées sous Licence Ouverte Etalab 2.0, au 27 octobre 2026. Chapitre établi avec MonEmplacement (monemplacement.fr), un produit GHIS. L’étude PDF qui l’accompagne situe aussi le quartier par un score d’opportunité (5,6 sur 10) : il classe la zone parmi les quartiers du département, il ne prédit pas la réussite d’un commerce.</w:t>
      </w:r>
    </w:p>
    <w:sectPr>
      <w:pgSz w:w="11906" w:h="16838"/>
      <w:pgMar w:top="1134" w:right="1134" w:bottom="1134" w:left="1134" w:header="567" w:footer="567"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fr-FR"/>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240"/>
    </w:pPr>
    <w:rPr>
      <w:b/>
      <w:sz w:val="40"/>
      <w:szCs w:val="40"/>
    </w:rPr>
  </w:style>
  <w:style w:type="paragraph" w:styleId="Heading1">
    <w:name w:val="heading 1"/>
    <w:basedOn w:val="Normal"/>
    <w:next w:val="Normal"/>
    <w:qFormat/>
    <w:pPr>
      <w:keepNext/>
      <w:spacing w:before="360" w:after="120"/>
      <w:outlineLvl w:val="0"/>
    </w:pPr>
    <w:rPr>
      <w:b/>
      <w:color w:val="C0392B"/>
      <w:sz w:val="30"/>
      <w:szCs w:val="30"/>
    </w:rPr>
  </w:style>
  <w:style w:type="paragraph" w:styleId="Heading2">
    <w:name w:val="heading 2"/>
    <w:basedOn w:val="Normal"/>
    <w:next w:val="Normal"/>
    <w:qFormat/>
    <w:pPr>
      <w:keepNext/>
      <w:spacing w:before="240" w:after="80"/>
      <w:outlineLvl w:val="1"/>
    </w:pPr>
    <w:rPr>
      <w:b/>
      <w:sz w:val="24"/>
      <w:szCs w:val="24"/>
    </w:rPr>
  </w:style>
  <w:style w:type="paragraph" w:styleId="Note">
    <w:name w:val="Note"/>
    <w:basedOn w:val="Normal"/>
    <w:qFormat/>
    <w:rPr>
      <w:i/>
      <w:color w:val="5F6368"/>
      <w:sz w:val="18"/>
      <w:szCs w:val="18"/>
    </w:rPr>
  </w:style>
  <w:style w:type="paragraph" w:styleId="ListParagraph">
    <w:name w:val="List Paragraph"/>
    <w:basedOn w:val="Normal"/>
    <w:qFormat/>
    <w:pPr>
      <w:spacing w:after="60"/>
      <w:ind w:left="720"/>
    </w:pPr>
  </w:style>
  <w:style w:type="paragraph" w:styleId="Tableau">
    <w:name w:val="Tableau"/>
    <w:basedOn w:val="Normal"/>
    <w:pPr>
      <w:spacing w:before="40" w:after="40" w:line="240" w:lineRule="auto"/>
    </w:pPr>
    <w:rPr>
      <w:sz w:val="20"/>
      <w:szCs w:val="20"/>
    </w:rPr>
  </w:style>
  <w:style w:type="table" w:styleId="Grille">
    <w:name w:val="Table Grid"/>
    <w:tblPr>
      <w:tblBorders>
        <w:top w:val="single" w:sz="4" w:space="0" w:color="C8CCD4"/>
        <w:left w:val="single" w:sz="4" w:space="0" w:color="C8CCD4"/>
        <w:bottom w:val="single" w:sz="4" w:space="0" w:color="C8CCD4"/>
        <w:right w:val="single" w:sz="4" w:space="0" w:color="C8CCD4"/>
        <w:insideH w:val="single" w:sz="4" w:space="0" w:color="C8CCD4"/>
        <w:insideV w:val="single" w:sz="4" w:space="0" w:color="C8CCD4"/>
      </w:tblBorders>
      <w:tblCellMar>
        <w:left w:w="100" w:type="dxa"/>
        <w:right w:w="100" w:type="dxa"/>
      </w:tblCellMar>
    </w:tbl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app.xml><?xml version="1.0" encoding="utf-8"?>
<Properties xmlns="http://schemas.openxmlformats.org/officeDocument/2006/extended-properties">
  <Application>MonEmplacement</Application>
</Properties>
</file>

<file path=docProps/core.xml><?xml version="1.0" encoding="utf-8"?>
<cp:coreProperties xmlns:cp="http://schemas.openxmlformats.org/package/2006/metadata/core-properties" xmlns:dc="http://purl.org/dc/elements/1.1/" xmlns:dcterms="http://purl.org/dc/terms/" xmlns:xsi="http://www.w3.org/2001/XMLSchema-instance">
  <dc:title>Étude de marché locale : Boulangerie et boulangerie-pâtisserie, Mazarin (Aix-en-Provence)</dc:title>
  <dc:creator>MonEmplacement (GHIS)</dc:creator>
  <dc:language>fr-FR</dc:language>
  <dcterms:created xsi:type="dcterms:W3CDTF">2026-10-27T00:00:00Z</dcterms:created>
  <dcterms:modified xsi:type="dcterms:W3CDTF">2026-10-27T00:00:00Z</dcterms:modified>
</cp:coreProperties>
</file>